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B2" w:rsidRPr="007C60AA" w:rsidRDefault="003909B2" w:rsidP="0039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AA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7C60AA">
        <w:rPr>
          <w:rFonts w:ascii="Times New Roman" w:hAnsi="Times New Roman" w:cs="Times New Roman"/>
          <w:b/>
          <w:bCs/>
          <w:sz w:val="24"/>
          <w:szCs w:val="24"/>
        </w:rPr>
        <w:t>должностной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инструкции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7C60AA">
        <w:rPr>
          <w:rFonts w:ascii="Times New Roman" w:hAnsi="Times New Roman" w:cs="Times New Roman"/>
          <w:b/>
          <w:bCs/>
          <w:sz w:val="24"/>
          <w:szCs w:val="24"/>
        </w:rPr>
        <w:t>менеджеру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защите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примечаниями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0AA">
        <w:rPr>
          <w:rFonts w:ascii="Times New Roman" w:hAnsi="Times New Roman" w:cs="Times New Roman"/>
          <w:b/>
          <w:bCs/>
          <w:sz w:val="24"/>
          <w:szCs w:val="24"/>
        </w:rPr>
        <w:t>тексту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09B2" w:rsidTr="00C11F0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«Версаль»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72</w:t>
            </w:r>
          </w:p>
          <w:p w:rsidR="003909B2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«Версаль»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:rsidR="003909B2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B2" w:rsidTr="00C11F01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75942426"/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  <w:bookmarkEnd w:id="1"/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B2" w:rsidRPr="00B9653F" w:rsidRDefault="003909B2" w:rsidP="00C11F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53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909B2" w:rsidRPr="00B9653F" w:rsidRDefault="003909B2" w:rsidP="00C11F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53F">
              <w:rPr>
                <w:rFonts w:ascii="Times New Roman" w:hAnsi="Times New Roman" w:cs="Times New Roman"/>
                <w:bCs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53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увольняется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назначается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D4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юридическое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D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желательно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F4D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F4D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F4D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«Информационное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F4D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3909B2" w:rsidRPr="002159EA" w:rsidRDefault="003909B2" w:rsidP="00C11F01">
            <w:pPr>
              <w:shd w:val="clear" w:color="auto" w:fill="D9D9D9" w:themeFill="background1" w:themeFillShade="D9"/>
              <w:ind w:firstLine="59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(высшее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целом,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юридическое,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инженерное),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полагаем,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зависит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поручено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служащего.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Согласно п. 9 Общих положений ЕКСД н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анимателем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образованию,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магистра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(квалификации),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(структурного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подразделения),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факторов.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 назначении на должность или поручения работы по ней в порядке совмещения учитывается отсутствие наличия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то есть, когда одно и тоже лицо осуществляет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внутренн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ий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ь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F36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обработку таких данных.</w:t>
            </w:r>
          </w:p>
          <w:p w:rsidR="003909B2" w:rsidRPr="002159EA" w:rsidRDefault="003909B2" w:rsidP="00C11F01">
            <w:pPr>
              <w:shd w:val="clear" w:color="auto" w:fill="D9D9D9" w:themeFill="background1" w:themeFillShade="D9"/>
              <w:ind w:firstLine="59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15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желательное.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руководствуется: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материалами,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касающимися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вопросов;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«Версаль»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локальными правовыми актами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приказами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распоряжениями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руководителя);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инструкцией.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D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567D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567D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567D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567D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защите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правительства,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отрасли;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руководящие,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Pr="0048369F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9F">
              <w:rPr>
                <w:rFonts w:ascii="Times New Roman" w:hAnsi="Times New Roman" w:cs="Times New Roman"/>
                <w:sz w:val="24"/>
                <w:szCs w:val="24"/>
              </w:rPr>
              <w:t>нарушений;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специализацию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подразделений;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специфику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выпускаемой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отрасли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4F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изготовления;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(способы)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персональных данных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Pr="006E55A8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разработок,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проверок,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передачи,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отображения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Pr="006E55A8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уполномоченными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обработку),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определяющими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3909B2" w:rsidRPr="006E55A8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A8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экономику,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стимулирования;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5D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работни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квалификационным требованиям по должности, 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Pr="00454AD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9B2" w:rsidRPr="00454AD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обязан: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работу по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блокирования,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копирования,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распространения,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предоставления,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неправомерных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актами;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определяющих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обрабатываемым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Отслеживать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законодательству,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57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составление,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реестров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за: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применимых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требований,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стандартов,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предъявляемых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учредителем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уполномоченными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лицами,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вышестоящими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уполномоченными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ею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F61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своевременным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внесением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неполными,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устаревшими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неточными,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своевременным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прекращением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осуществлением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актами;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аудиты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будущем;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экспертизу,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согласование,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представителей,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обязанностей;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входящим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оптимизировать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бизнес-процессы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IT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-процессы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данными;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инициировать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юридическими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Беларусь,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обрабатываемых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актами;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неполными,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устаревшими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неточными;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уведомлять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C4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незамедлительно,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недостоверных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:rsidR="003909B2" w:rsidRPr="00EF2C2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9152644"/>
            <w:r>
              <w:rPr>
                <w:rFonts w:ascii="Times New Roman" w:hAnsi="Times New Roman" w:cs="Times New Roman"/>
                <w:sz w:val="24"/>
                <w:szCs w:val="24"/>
              </w:rPr>
              <w:t>7. М</w:t>
            </w:r>
            <w:r w:rsidRPr="00EF2C22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Pr="00EF2C22">
              <w:rPr>
                <w:rFonts w:ascii="Times New Roman" w:hAnsi="Times New Roman" w:cs="Times New Roman"/>
                <w:sz w:val="24"/>
                <w:szCs w:val="24"/>
              </w:rPr>
              <w:t>обязан: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ничать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здоровых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извещать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приспособлений,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ухудшении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заболевания,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угрозу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окружающих,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обнаруженных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недостатках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bookmarkEnd w:id="2"/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аварийной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ликвидации,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пострадавшему,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МЧС;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экологические,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противопожарные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требования;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производственных,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помещениях;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угрожающей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окружающих,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произошедшем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нанимателю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потерпевшим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конфиденциальную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(коммерческую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тайну)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любым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услуг),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услуг),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чистоту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Pr="00B9653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909B2" w:rsidRPr="00B9653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3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право: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у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вопросов,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касающимися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инструкцией;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компетенции;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обязанностей;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организации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него обязанностей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персональным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обработки;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(периодические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издания,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экспертные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604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обрабатывают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4">
              <w:rPr>
                <w:rFonts w:ascii="Times New Roman" w:hAnsi="Times New Roman" w:cs="Times New Roman"/>
                <w:sz w:val="24"/>
                <w:szCs w:val="24"/>
              </w:rPr>
              <w:t>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B2" w:rsidRPr="0016277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Pr="00454AD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09B2" w:rsidRPr="00454AD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(СВЯЗИ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ДОЛЖНОСТИ)</w:t>
            </w: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B2" w:rsidRPr="00571558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подчиняется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директору.</w:t>
            </w:r>
          </w:p>
          <w:p w:rsidR="003909B2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58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взаимодействует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входящим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компетенцию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9B2" w:rsidRPr="00952223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надлежащ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конфиденциальности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предотвра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другими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осуществления внутреннего контроля и аудита обработки персональных данных; </w:t>
            </w:r>
          </w:p>
          <w:p w:rsidR="003909B2" w:rsidRPr="00A820E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23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соблюдения требований законодательства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:rsidR="003909B2" w:rsidRPr="00A820E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осуществлением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о защите персональных данных</w:t>
            </w:r>
            <w:r w:rsidRPr="00A8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9B2" w:rsidRPr="00A820E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9B2" w:rsidRPr="00A820E4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9B2" w:rsidRPr="00454AD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09B2" w:rsidRPr="00454ADF" w:rsidRDefault="003909B2" w:rsidP="00C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3909B2" w:rsidRPr="00454ADF" w:rsidRDefault="003909B2" w:rsidP="00C1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B2" w:rsidRPr="001D663B" w:rsidRDefault="003909B2" w:rsidP="00C11F01">
            <w:pPr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за: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(ненадлежащее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исполнение)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инструкцией,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пределах,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Беларусь;</w:t>
            </w:r>
          </w:p>
          <w:p w:rsidR="003909B2" w:rsidRPr="001D663B" w:rsidRDefault="003909B2" w:rsidP="00C11F01">
            <w:pPr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совершенные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пределах,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административным,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уголовным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Беларусь;</w:t>
            </w:r>
          </w:p>
          <w:p w:rsidR="003909B2" w:rsidRPr="001D663B" w:rsidRDefault="003909B2" w:rsidP="00C11F01">
            <w:pPr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пределах,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трудовым,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уголовным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Беларусь;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санитарии,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актов;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:rsidR="003909B2" w:rsidRPr="001D663B" w:rsidRDefault="003909B2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12.6.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распоряжений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конфиденциальной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3909B2" w:rsidRPr="001D663B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2" w:rsidRDefault="003909B2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635E"/>
    <w:multiLevelType w:val="multilevel"/>
    <w:tmpl w:val="3F0C336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C84285E"/>
    <w:multiLevelType w:val="multilevel"/>
    <w:tmpl w:val="A92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A67C9"/>
    <w:multiLevelType w:val="multilevel"/>
    <w:tmpl w:val="93EE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D1BB6"/>
    <w:multiLevelType w:val="multilevel"/>
    <w:tmpl w:val="895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F7D3B"/>
    <w:multiLevelType w:val="multilevel"/>
    <w:tmpl w:val="328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311EE"/>
    <w:multiLevelType w:val="multilevel"/>
    <w:tmpl w:val="38AEB67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EDC0772"/>
    <w:multiLevelType w:val="multilevel"/>
    <w:tmpl w:val="8A7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A4465"/>
    <w:multiLevelType w:val="multilevel"/>
    <w:tmpl w:val="184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4761B"/>
    <w:multiLevelType w:val="multilevel"/>
    <w:tmpl w:val="868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B6A5E"/>
    <w:multiLevelType w:val="multilevel"/>
    <w:tmpl w:val="D770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8D7899"/>
    <w:multiLevelType w:val="multilevel"/>
    <w:tmpl w:val="A912B1A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3F44606"/>
    <w:multiLevelType w:val="multilevel"/>
    <w:tmpl w:val="540E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25B1C"/>
    <w:multiLevelType w:val="multilevel"/>
    <w:tmpl w:val="27A0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E7D87"/>
    <w:multiLevelType w:val="multilevel"/>
    <w:tmpl w:val="E97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0B28A9"/>
    <w:multiLevelType w:val="hybridMultilevel"/>
    <w:tmpl w:val="0EFAF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EA"/>
    <w:rsid w:val="003909B2"/>
    <w:rsid w:val="00E65726"/>
    <w:rsid w:val="00E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D7BD-FFA2-4FA2-85A3-C167F7C9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9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9B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90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2022-02-03T12:45:00Z</dcterms:created>
  <dcterms:modified xsi:type="dcterms:W3CDTF">2022-02-03T12:45:00Z</dcterms:modified>
</cp:coreProperties>
</file>