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Чек-лист по исполнительному производству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Составить претензию контрагенту. В претензии указать: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фактические обстоятельства;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правовое обоснование;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расчет требований;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просьбу выполнить требования.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Отправить претензию контрагенту заказным письмом с уведомлением о доставке.</w:t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ab/>
        <w:t xml:space="preserve">Если контрагент не удовлетворил требования претензии: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Составить исковое заявление в суд. В исковом заявлении указать: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истца,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ответчика,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фактические обстоятельства;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правовое обоснование;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расчет требований;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прошение;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перечень документов (копии), на которые вы ссылались при составлении искового заявления, включая доверенность, подтверждающую полномочия представителя.</w:t>
      </w:r>
    </w:p>
    <w:p w:rsidR="00000000" w:rsidDel="00000000" w:rsidP="00000000" w:rsidRDefault="00000000" w:rsidRPr="00000000" w14:paraId="00000015">
      <w:pPr>
        <w:ind w:left="144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Оплатить государственную пошлину.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Подать исковое заявление вместе с заверенными копиями документов в суд по общим правилам подсудности (как правило, по месту нахождения должника). При наличии в договоре судебной оговорки – подать заявление в суд, который стороны определили в договоре. </w:t>
      </w:r>
    </w:p>
    <w:p w:rsidR="00000000" w:rsidDel="00000000" w:rsidP="00000000" w:rsidRDefault="00000000" w:rsidRPr="00000000" w14:paraId="00000019">
      <w:pPr>
        <w:ind w:left="144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Получить исполнительный документ.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Предъявить исполнительный документ и платежное требование к счету должника в банк.</w:t>
      </w:r>
    </w:p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ab/>
        <w:t xml:space="preserve">Если на счете должника нет средств, чтобы удовлетворить требования, или если требования не удовлетворяются в разумный срок: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Отозвать платежное требование из банка.</w:t>
      </w:r>
    </w:p>
    <w:p w:rsidR="00000000" w:rsidDel="00000000" w:rsidP="00000000" w:rsidRDefault="00000000" w:rsidRPr="00000000" w14:paraId="00000021">
      <w:pPr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Составить заявление о возбуждении исполнительного производства. В заявлении указать: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взыскателя,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наименование должника, юридический адрес, место нахождения, банковские реквизиты, контактные телефоны, факсы и электронные адреса;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обстоятельства рассмотрения дела судом (наименование суда, дату рассмотрения дела, номер дела, номер решения, сумму задолженности, дату вступления решения в силу);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дату выдачи судебного приказа и его номер;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дату выставления платежного требования к счету контрагента;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фактические обстоятельства неисполнения требования контрагентом;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правовое обоснование;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прошение;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перечень документов (копии), на которые вы ссылались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при составлении заявления о возбуждении исполнительного производства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включая доверенность, подтверждающую полномочия представителя.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Подать заявление о возбуждении исполнительного производства в отдел принудительного исполнения по месту регистрации должника, нахождения его имущества или по адресу осуществления должником хозяйственной деятельности.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Периодически связываться с судебным исполнителем для уточнения хода исполнительного производства.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